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249</w:t>
      </w:r>
    </w:p>
    <w:p>
      <w:r>
        <w:t>Bundesgericht (BGE), 1995-01-26, DE</w:t>
      </w:r>
    </w:p>
    <w:p>
      <w:r>
        <w:rPr>
          <w:b/>
        </w:rPr>
        <w:t xml:space="preserve">Quelle: </w:t>
      </w:r>
      <w:r>
        <w:t>https://mcp.opencaselaw.ch/entscheid/bge_121 III 249</w:t>
      </w:r>
    </w:p>
    <w:p>
      <w:r>
        <w:t>FR: ATF 121 III 249</w:t>
      </w:r>
    </w:p>
    <w:p>
      <w:r>
        <w:t>IT: DTF 121 III 249</w:t>
      </w:r>
    </w:p>
    <w:p>
      <w:pPr>
        <w:pStyle w:val="Heading2"/>
      </w:pPr>
      <w:r>
        <w:t>Regeste</w:t>
      </w:r>
    </w:p>
    <w:p>
      <w:r>
        <w:t>Regeste Herabsetzung (Art. 522 ff. ZGB); Beginn der Verwirkungsfrist nach Art. 533 ZGB. Der in seinem Pflichtteilsanspruch beeinträchtigte Erbe muss nur diejenigen Elemente des Sachverhalts kennen, die den möglichen Erfolg einer Herabsetzungsklage erwarten lassen; es bedarf keiner absoluten Gewissheit (E. 2a). Die Herabsetzungsklage muss deshalb auch dann zugelassen werden, wenn dem Kläger die Bezifferung seines Anspruchs noch nicht möglich ist und wenn nach kantonalem Verfahrensrecht unbezifferte Rechtsbegehren nicht zulässig wären (E. 2b).</w:t>
      </w:r>
    </w:p>
    <w:p>
      <w:pPr>
        <w:pStyle w:val="Heading2"/>
      </w:pPr>
      <w:r>
        <w:t>Erwägungen</w:t>
      </w:r>
    </w:p>
    <w:p>
      <w:r>
        <w:rPr>
          <w:b/>
        </w:rPr>
        <w:t>E. 2</w:t>
      </w:r>
    </w:p>
    <w:p>
      <w:r>
        <w:t>Streitig ist, ob die Kenntnisse der Klägerin, welche dieser bereits mehr als ein Jahr vor Anhebung der Klage beim Friedensrichter am 9. August 1990 zugeschrieben werden, ausgereicht haben, um die Verwirkungsfrist gemäss Art. 533 Abs. 1 ZGB (zur Rechtsnatur BGE 108 II 288 E. 2 S. 292, BGE 98 II 176 E. 10 S. 178 ff.) in Gang zu setzen. a) Die Frist läuft nach der genannten Bestimmung vom Zeitpunkt an, in dem der durch eine Verfügung von Todes wegen ( Art. 522 ZGB ) oder durch eine Verfügung unter Lebenden ( Art. 527 ZGB ) in seinem Pflichtteilsanspruch beeinträchtigte Erbe von der Verletzung seiner Rechte und damit vom Klagegrund Kenntnis erhalten hat ( BGE 108 II 288 E. 3a S. 293, BGE 73 II 6 E. 5 S. 12; TUOR, N. 5 zu Art. 533 ZGB ; DRUEY, Grundriss des Erbrechts, 3. Aufl., § 6 N. 90; PICENONI, Die Verjährung der Testamentsungültigkeits- und Herabsetzungsklage, in SJZ 63, 1967, S. 102). Dazu bedarf es der Kenntnis derjenigen Elemente, die den möglichen Erfolg einer Herabsetzungsklage erwarten lassen, jedoch nicht einer absoluten Gewissheit (ESCHER, N. 2 zu Art. 533 ZGB ). b) Dabei beschränkt sich die Anforderung an die Kenntnis, dem Wortlaut der Bestimmung entsprechend, auf die blosse Tatsache der Pflichtteilsverletzung. Der benachteiligte Erbe muss nur darum wissen. Dass bereits das genaue Ausmass der Pflichtteilsverletzung feststehe, ist nicht erforderlich. Literatur und Judikatur verstehen die Anforderung regelmässig in diesem Sinne. Der pflichtteilsberechtigte Erbe braucht daher etwa von der Höhe des Nachlasses nur eine ungefähre Kenntnis zu haben (nicht publizierter Entscheid des Bundesgerichts vom 2.5.1991 i.S. W., E. 2b, unter Bezugnahme auf BGE 108 II 293 ), und auch das nur, wenn er nicht ohnehin gänzlich übergangen ist (PIOTET, Erbrecht, in SPR IV/1, S. 506; BGE 121 III 249 S. 251 MÜLLER-HELLBACH, Die Verjährung erbrechtlicher Klagen, Diss. Zürich 1975, S. 98). Ist der Pflichtteil mit einer Nutzniessung belastet, so ist er auf jeden Fall verletzt; auf ihren Wert kommt es nicht an ( BGE 108 II 288 E. 3a S. 293). Und im Falle des Eingriffes durch eine letztwillige Verfügung muss diese dem Betroffenen nicht vollständig bekannt sein, wenn er wenigstens erkennen kann, dass seine Ansprüche verletzt sind (so der erwähnte Entscheid i.S. W., E. 4b). Der Zeitpunkt der Kenntnis ist nach den gesamten Umständen zu ermitteln. Aus dem Gesagten erhellt, dass der Beginn des Fristenlaufes nicht von der Befähigung des Pflichtteilsberechtigten abhängt, die Klage bereits auf einen dem letztlich erreichbaren Mass der Herabsetzung entsprechenden Betrag beziffern zu können. Das widerspräche dem in der verhältnismässig kurzen Frist zum Ausdruck kommenden Bestreben des Gesetzgebers, die Unsicherheit über Gültigkeit und Tragweite der Verfügung möglichst rasch zu beseitigen. Folglich muss die Herabsetzungsklage auch dann zugelassen und verlangt werden, wenn dem Kläger die Bezifferung seines Rechtsbegehrens noch nicht möglich ist. Das hätte auch dann zu gelten, wenn das kantonale Verfahrensrecht unbezifferte Begehren nicht zuliesse. Wie das Bundesgericht schon in anderem Zusammenhang festgestellt hat, kommt dem Erfordernis der Durchsetzbarkeit des materiellen Bundesrechts der Vorrang vor einschränkendem kantonalem Prozessrecht zu. Ein Begehren ist daher nicht nur dann in unbezifferter Form zuzulassen, wenn das Bundesrecht es ausdrücklich vorschreibt, sondern allgemein dann, wenn der Kläger nicht in der Lage oder es ihm nicht zumutbar ist, die Höhe seines Anspruches genau anzugeben ( BGE 116 II 215 E. 4a S. 219). Bei der Herabsetzungsklage dürfte das in der Regel zutreffen. c) Die lebzeitige Abtretung eines Vermögenswertes ist der Herabsetzung bzw. Ausgleichung dann unterworfen, wenn die Verfügung des nachmaligen Erblassers ganz oder teilweise unentgeltlich war. Das trifft zu, wenn keine oder eine im Wert geringere Gegenleistung erbracht worden ist, der Zuwendung also das ökonomische Äquivalent fehlt. Ob und wieweit eine Zuwendung als unentgeltlich zu qualifizieren ist, beurteilt sich auf Grund der Verhältnisse im Zeitpunkt ihrer Vornahme ( BGE 120 II 417 E. 3a S. 420,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